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ED" w:rsidRDefault="00AA7D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5080</wp:posOffset>
            </wp:positionV>
            <wp:extent cx="3202940" cy="462915"/>
            <wp:effectExtent l="0" t="0" r="0" b="0"/>
            <wp:wrapTight wrapText="bothSides">
              <wp:wrapPolygon edited="0">
                <wp:start x="0" y="0"/>
                <wp:lineTo x="0" y="20444"/>
                <wp:lineTo x="21454" y="20444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_full_logo_cmyk-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8890</wp:posOffset>
            </wp:positionV>
            <wp:extent cx="2771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D" w:rsidRDefault="00AA7DED"/>
    <w:p w:rsidR="00AA7DED" w:rsidRDefault="00AA7DED"/>
    <w:p w:rsidR="00AA7DED" w:rsidRDefault="00AA7DED"/>
    <w:p w:rsidR="00AA7DED" w:rsidRDefault="00AA7DED">
      <w:r>
        <w:t xml:space="preserve">March </w:t>
      </w:r>
      <w:r w:rsidR="00253F8A">
        <w:t>2</w:t>
      </w:r>
      <w:r w:rsidR="00253F8A" w:rsidRPr="00253F8A">
        <w:rPr>
          <w:vertAlign w:val="superscript"/>
        </w:rPr>
        <w:t>nd</w:t>
      </w:r>
      <w:r w:rsidR="00253F8A">
        <w:t>,</w:t>
      </w:r>
      <w:r>
        <w:t xml:space="preserve"> 2018 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Heather Watt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Senior Policy Analyst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Ministry of the Environment and Climate Change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Policy and Program Division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Environmental Policy Branch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 xml:space="preserve">40 St Clair Avenue West 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Floor 10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>Toronto ON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 xml:space="preserve">M4V 1M2 </w:t>
      </w:r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  <w:r>
        <w:t xml:space="preserve">E-mail: </w:t>
      </w:r>
      <w:hyperlink r:id="rId9" w:history="1">
        <w:r w:rsidRPr="002F6A0A">
          <w:rPr>
            <w:rStyle w:val="Hyperlink"/>
          </w:rPr>
          <w:t>Heather.Watt@ontario.ca</w:t>
        </w:r>
      </w:hyperlink>
    </w:p>
    <w:p w:rsidR="00AA7DED" w:rsidRDefault="00AA7DED" w:rsidP="00AA7DED">
      <w:pPr>
        <w:tabs>
          <w:tab w:val="center" w:pos="4680"/>
          <w:tab w:val="right" w:pos="9360"/>
        </w:tabs>
        <w:spacing w:after="0" w:line="240" w:lineRule="auto"/>
      </w:pPr>
    </w:p>
    <w:p w:rsidR="00AA74ED" w:rsidRPr="00AA74ED" w:rsidRDefault="00AA74ED" w:rsidP="00AA74ED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AA74ED">
        <w:rPr>
          <w:b/>
        </w:rPr>
        <w:t xml:space="preserve">RE: EBR Registry # 013-2083 on </w:t>
      </w:r>
      <w:r w:rsidRPr="00AA74ED">
        <w:rPr>
          <w:rStyle w:val="notice-content-sub"/>
          <w:b/>
        </w:rPr>
        <w:t>Guideline on Community Emissions Reduction Planning</w:t>
      </w:r>
    </w:p>
    <w:p w:rsidR="00AA74ED" w:rsidRDefault="00AA74ED" w:rsidP="00AA7DED"/>
    <w:p w:rsidR="000F25EF" w:rsidRDefault="00AA7DED" w:rsidP="00AA7DED">
      <w:r w:rsidRPr="00A26358">
        <w:t xml:space="preserve">The Clean Air Council (CAC) </w:t>
      </w:r>
      <w:r>
        <w:t>is a network of 28</w:t>
      </w:r>
      <w:r w:rsidRPr="00A26358">
        <w:t xml:space="preserve"> municipalities and health units from across the Greate</w:t>
      </w:r>
      <w:r>
        <w:t xml:space="preserve">r Toronto, Hamilton and Southwestern </w:t>
      </w:r>
      <w:r w:rsidRPr="00A26358">
        <w:t>Ontario Area</w:t>
      </w:r>
      <w:r w:rsidRPr="00A26358">
        <w:rPr>
          <w:rStyle w:val="FootnoteReference"/>
        </w:rPr>
        <w:footnoteReference w:id="1"/>
      </w:r>
      <w:r>
        <w:t xml:space="preserve"> who </w:t>
      </w:r>
      <w:r w:rsidR="00051E57">
        <w:t xml:space="preserve">work </w:t>
      </w:r>
      <w:r w:rsidRPr="00A26358">
        <w:t>collaboratively on the development and implementation of clean air and climate change mitigation and adaptation actions. The CAC is proud to have the Province of Ontario as a member.</w:t>
      </w:r>
      <w:r>
        <w:t xml:space="preserve"> </w:t>
      </w:r>
    </w:p>
    <w:p w:rsidR="00AA7DED" w:rsidRDefault="00AA7DED" w:rsidP="00AA7DED">
      <w:r>
        <w:t xml:space="preserve">Clean Air Partnership serves as the secretariat for the </w:t>
      </w:r>
      <w:r w:rsidR="000401C0">
        <w:t>CAC</w:t>
      </w:r>
      <w:r>
        <w:t xml:space="preserve">. Clean Air Partnership is a charitable environmental organization </w:t>
      </w:r>
      <w:r w:rsidR="00A325EE">
        <w:t xml:space="preserve">whose mission is to work with municipalities and their partners to create sustainable, resilient and vibrant communities by </w:t>
      </w:r>
      <w:r w:rsidR="00051E57">
        <w:t xml:space="preserve">undertaking </w:t>
      </w:r>
      <w:r w:rsidR="00A325EE">
        <w:t>effort</w:t>
      </w:r>
      <w:r w:rsidR="00051E57">
        <w:t xml:space="preserve">s </w:t>
      </w:r>
      <w:r w:rsidR="00AB32D4">
        <w:t xml:space="preserve">to improve air quality, reduce </w:t>
      </w:r>
      <w:r w:rsidR="00A325EE">
        <w:t xml:space="preserve">greenhouse gas emissions, </w:t>
      </w:r>
      <w:r w:rsidR="00AB32D4">
        <w:t>increase</w:t>
      </w:r>
      <w:r w:rsidR="00051E57">
        <w:t xml:space="preserve"> </w:t>
      </w:r>
      <w:r w:rsidR="00A325EE">
        <w:t xml:space="preserve">resilience to extreme weather and climate change impacts and </w:t>
      </w:r>
      <w:r w:rsidR="003C3380">
        <w:t>enabling</w:t>
      </w:r>
      <w:r w:rsidR="00051E57">
        <w:t xml:space="preserve"> </w:t>
      </w:r>
      <w:r w:rsidR="00A325EE">
        <w:t xml:space="preserve">participation </w:t>
      </w:r>
      <w:r w:rsidR="00051E57">
        <w:t>i</w:t>
      </w:r>
      <w:r w:rsidR="00A325EE">
        <w:t xml:space="preserve">n the low carbon economy. </w:t>
      </w:r>
    </w:p>
    <w:p w:rsidR="00AA3299" w:rsidRDefault="00054AD3" w:rsidP="00AA7DED">
      <w:r>
        <w:t xml:space="preserve">The </w:t>
      </w:r>
      <w:r w:rsidR="000401C0">
        <w:t>CAC</w:t>
      </w:r>
      <w:r>
        <w:t xml:space="preserve"> </w:t>
      </w:r>
      <w:r w:rsidR="000401C0">
        <w:t>commends</w:t>
      </w:r>
      <w:r>
        <w:t xml:space="preserve"> Ontario’s Draft Community Emissions Reduction Planning Guide for Municipalities </w:t>
      </w:r>
      <w:r w:rsidR="000401C0">
        <w:t xml:space="preserve">in </w:t>
      </w:r>
      <w:r>
        <w:t>recogniz</w:t>
      </w:r>
      <w:r w:rsidR="000401C0">
        <w:t>ing</w:t>
      </w:r>
      <w:r>
        <w:t xml:space="preserve"> the significant role municipalities play in advancing </w:t>
      </w:r>
      <w:r w:rsidR="000401C0">
        <w:t>Ontario’s</w:t>
      </w:r>
      <w:r>
        <w:t xml:space="preserve"> greenhouse gas </w:t>
      </w:r>
      <w:r w:rsidR="00B13A0B">
        <w:t xml:space="preserve">(GHG) </w:t>
      </w:r>
      <w:r>
        <w:t xml:space="preserve">reduction </w:t>
      </w:r>
      <w:r w:rsidR="000401C0">
        <w:t>efforts</w:t>
      </w:r>
      <w:r w:rsidR="00A77889">
        <w:t xml:space="preserve">. </w:t>
      </w:r>
      <w:r w:rsidR="00B17569">
        <w:t xml:space="preserve">The </w:t>
      </w:r>
      <w:r w:rsidR="000401C0">
        <w:t>CAC</w:t>
      </w:r>
      <w:r w:rsidR="00B17569">
        <w:t xml:space="preserve"> is also very </w:t>
      </w:r>
      <w:r w:rsidR="00A77889">
        <w:t xml:space="preserve">pleased that </w:t>
      </w:r>
      <w:r w:rsidR="00B17569">
        <w:t xml:space="preserve">the province is advancing the </w:t>
      </w:r>
      <w:r w:rsidR="00A77889">
        <w:t xml:space="preserve">policy direction </w:t>
      </w:r>
      <w:r w:rsidR="003C3380">
        <w:t xml:space="preserve">(p. 11) </w:t>
      </w:r>
      <w:r w:rsidR="00A77889">
        <w:t xml:space="preserve">needed to ensure that </w:t>
      </w:r>
      <w:r w:rsidR="00B17569">
        <w:t xml:space="preserve">Ontario </w:t>
      </w:r>
      <w:proofErr w:type="gramStart"/>
      <w:r w:rsidR="000401C0">
        <w:t xml:space="preserve">is </w:t>
      </w:r>
      <w:r w:rsidR="00051E57">
        <w:t xml:space="preserve"> an</w:t>
      </w:r>
      <w:proofErr w:type="gramEnd"/>
      <w:r w:rsidR="00051E57">
        <w:t xml:space="preserve"> active participant in the emerging low carbon economy</w:t>
      </w:r>
      <w:r>
        <w:t xml:space="preserve">. </w:t>
      </w:r>
      <w:r w:rsidR="000F25EF">
        <w:t xml:space="preserve">It </w:t>
      </w:r>
      <w:proofErr w:type="gramStart"/>
      <w:r w:rsidR="000F25EF">
        <w:t>was appreciated</w:t>
      </w:r>
      <w:proofErr w:type="gramEnd"/>
      <w:r w:rsidR="000F25EF">
        <w:t xml:space="preserve"> that the Guideline referenced the work of </w:t>
      </w:r>
      <w:r w:rsidR="000401C0">
        <w:t>the CAC</w:t>
      </w:r>
      <w:r w:rsidR="000F25EF">
        <w:t xml:space="preserve"> </w:t>
      </w:r>
      <w:r w:rsidR="000401C0">
        <w:t xml:space="preserve">in advancing innovation in community energy and emissions planning </w:t>
      </w:r>
      <w:r w:rsidR="003C3380">
        <w:t xml:space="preserve">(p.42). </w:t>
      </w:r>
    </w:p>
    <w:p w:rsidR="003C3380" w:rsidRDefault="00A77889" w:rsidP="00AA7DED">
      <w:r>
        <w:t xml:space="preserve">The policy direction of the </w:t>
      </w:r>
      <w:r w:rsidR="00054AD3">
        <w:t xml:space="preserve">Province </w:t>
      </w:r>
      <w:r w:rsidR="00B13A0B">
        <w:t xml:space="preserve">outlined in the </w:t>
      </w:r>
      <w:r>
        <w:t xml:space="preserve">Growth Plan and Climate Change Action Plan will help advance </w:t>
      </w:r>
      <w:r w:rsidR="00B13A0B">
        <w:t>municipal action through</w:t>
      </w:r>
      <w:r>
        <w:t xml:space="preserve"> </w:t>
      </w:r>
      <w:r w:rsidR="00051E57">
        <w:t xml:space="preserve">capacity </w:t>
      </w:r>
      <w:r w:rsidR="00B13A0B">
        <w:t>building and implementation of</w:t>
      </w:r>
      <w:r>
        <w:t xml:space="preserve"> </w:t>
      </w:r>
      <w:r w:rsidR="00B13A0B">
        <w:t xml:space="preserve">GHG </w:t>
      </w:r>
      <w:r>
        <w:t xml:space="preserve">reduction </w:t>
      </w:r>
      <w:r w:rsidR="00B13A0B">
        <w:t>actions</w:t>
      </w:r>
      <w:r>
        <w:t xml:space="preserve">. </w:t>
      </w:r>
      <w:r w:rsidR="00B13A0B">
        <w:t>While t</w:t>
      </w:r>
      <w:r w:rsidR="003C3380">
        <w:t xml:space="preserve">he </w:t>
      </w:r>
      <w:r>
        <w:t>Guide</w:t>
      </w:r>
      <w:r w:rsidR="00D754E2">
        <w:t>line</w:t>
      </w:r>
      <w:r>
        <w:t xml:space="preserve"> </w:t>
      </w:r>
      <w:r w:rsidR="00B13A0B">
        <w:t>helps bring</w:t>
      </w:r>
      <w:r w:rsidR="00B17569">
        <w:t xml:space="preserve"> </w:t>
      </w:r>
      <w:r>
        <w:t xml:space="preserve">structure </w:t>
      </w:r>
      <w:r w:rsidR="00B13A0B">
        <w:t xml:space="preserve">to </w:t>
      </w:r>
      <w:r w:rsidR="00B17569">
        <w:t>climate action planning</w:t>
      </w:r>
      <w:r w:rsidR="00B13A0B">
        <w:t xml:space="preserve"> in Ontario</w:t>
      </w:r>
      <w:proofErr w:type="gramStart"/>
      <w:r w:rsidR="00B13A0B">
        <w:t xml:space="preserve">, </w:t>
      </w:r>
      <w:r w:rsidR="00B17569">
        <w:t xml:space="preserve"> to</w:t>
      </w:r>
      <w:proofErr w:type="gramEnd"/>
      <w:r w:rsidR="00B17569">
        <w:t xml:space="preserve"> </w:t>
      </w:r>
      <w:r w:rsidR="00B13A0B">
        <w:t>a</w:t>
      </w:r>
      <w:r w:rsidR="00B17569">
        <w:t xml:space="preserve">chieve the </w:t>
      </w:r>
      <w:r w:rsidR="00B13A0B">
        <w:t xml:space="preserve">our GHG reduction </w:t>
      </w:r>
      <w:r w:rsidR="00AB32D4">
        <w:t>goals,</w:t>
      </w:r>
      <w:r w:rsidR="00B17569">
        <w:t xml:space="preserve"> ongoing and sustained collaboration and partnership between the province and municipalities </w:t>
      </w:r>
      <w:r w:rsidR="00B13A0B">
        <w:t>is essential</w:t>
      </w:r>
      <w:r w:rsidR="003C3380">
        <w:t xml:space="preserve">. </w:t>
      </w:r>
    </w:p>
    <w:p w:rsidR="0015230A" w:rsidRDefault="0015230A" w:rsidP="0015230A">
      <w:r>
        <w:t xml:space="preserve">The </w:t>
      </w:r>
      <w:r w:rsidR="00B13A0B">
        <w:t>CAC</w:t>
      </w:r>
      <w:r>
        <w:t xml:space="preserve"> thanks MOECC for its work on this Guideline and commits to working with the Province </w:t>
      </w:r>
      <w:r w:rsidR="00B13A0B">
        <w:t xml:space="preserve">to </w:t>
      </w:r>
      <w:r>
        <w:t>advanc</w:t>
      </w:r>
      <w:r w:rsidR="00B13A0B">
        <w:t>e</w:t>
      </w:r>
      <w:r>
        <w:t xml:space="preserve"> </w:t>
      </w:r>
      <w:r w:rsidR="00B13A0B">
        <w:t xml:space="preserve">those existing </w:t>
      </w:r>
      <w:r>
        <w:t>Plans (e</w:t>
      </w:r>
      <w:r w:rsidR="00B13A0B">
        <w:t>.g</w:t>
      </w:r>
      <w:r>
        <w:t xml:space="preserve">. CCAP &amp; Growth Plan) </w:t>
      </w:r>
      <w:r w:rsidR="00B13A0B">
        <w:t xml:space="preserve">and </w:t>
      </w:r>
      <w:r>
        <w:t xml:space="preserve">policies </w:t>
      </w:r>
      <w:r w:rsidR="00AB32D4">
        <w:t>(e</w:t>
      </w:r>
      <w:r w:rsidR="00B13A0B">
        <w:t>.g.</w:t>
      </w:r>
      <w:r w:rsidR="00AB32D4">
        <w:t xml:space="preserve"> </w:t>
      </w:r>
      <w:r>
        <w:t xml:space="preserve">Ontario Building Code, Home </w:t>
      </w:r>
      <w:r>
        <w:lastRenderedPageBreak/>
        <w:t>Energy Labelling, Home Energy Retrofit Programs and Financing, etc</w:t>
      </w:r>
      <w:r w:rsidR="00B13A0B">
        <w:t>.</w:t>
      </w:r>
      <w:r w:rsidR="00AB32D4">
        <w:t>)</w:t>
      </w:r>
      <w:r>
        <w:t xml:space="preserve"> that </w:t>
      </w:r>
      <w:r w:rsidR="00B13A0B">
        <w:t>help</w:t>
      </w:r>
      <w:r>
        <w:t xml:space="preserve"> municipalities to advance </w:t>
      </w:r>
      <w:r w:rsidR="00B13A0B">
        <w:t xml:space="preserve">GHG </w:t>
      </w:r>
      <w:r>
        <w:t xml:space="preserve">reduction opportunities within their communities. </w:t>
      </w:r>
    </w:p>
    <w:p w:rsidR="00365A94" w:rsidRDefault="00B17569" w:rsidP="00AA7DED">
      <w:r>
        <w:t>Below are some priority recommendations related to the Draft Guidelines</w:t>
      </w:r>
      <w:r w:rsidR="00AB32D4">
        <w:t>,</w:t>
      </w:r>
      <w:r>
        <w:t xml:space="preserve"> but also next step actions that will be necessary to enable the implementation of climate </w:t>
      </w:r>
      <w:proofErr w:type="gramStart"/>
      <w:r>
        <w:t>actions.</w:t>
      </w:r>
      <w:proofErr w:type="gramEnd"/>
      <w:r>
        <w:t xml:space="preserve"> </w:t>
      </w:r>
    </w:p>
    <w:p w:rsidR="00D252AA" w:rsidRPr="00D252AA" w:rsidRDefault="000458BB" w:rsidP="00AA7DED">
      <w:pPr>
        <w:rPr>
          <w:b/>
        </w:rPr>
      </w:pPr>
      <w:r w:rsidRPr="00D252AA">
        <w:rPr>
          <w:b/>
        </w:rPr>
        <w:t xml:space="preserve">Recommendation # 1: </w:t>
      </w:r>
      <w:r w:rsidR="00C70FF7">
        <w:rPr>
          <w:b/>
        </w:rPr>
        <w:t>Ensure consistency and alignment between</w:t>
      </w:r>
      <w:r w:rsidRPr="00D252AA">
        <w:rPr>
          <w:b/>
        </w:rPr>
        <w:t xml:space="preserve"> MOECC’s Municipal Action Plan Program (MAPP) with the MOE’s Municipal Energy Plan program (MEP</w:t>
      </w:r>
      <w:r w:rsidR="00C70FF7">
        <w:rPr>
          <w:b/>
        </w:rPr>
        <w:t>).</w:t>
      </w:r>
    </w:p>
    <w:p w:rsidR="00DA6CBB" w:rsidRDefault="000458BB" w:rsidP="00AA7DED">
      <w:r>
        <w:t xml:space="preserve">This will </w:t>
      </w:r>
      <w:r w:rsidR="0015230A">
        <w:t>reduce duplication and confusion</w:t>
      </w:r>
      <w:r w:rsidR="00624772">
        <w:t>,</w:t>
      </w:r>
      <w:r w:rsidR="0015230A">
        <w:t xml:space="preserve"> </w:t>
      </w:r>
      <w:r w:rsidR="00365A94">
        <w:t>increas</w:t>
      </w:r>
      <w:r w:rsidR="00624772">
        <w:t>ing</w:t>
      </w:r>
      <w:r w:rsidR="00365A94">
        <w:t xml:space="preserve"> the likelihood that actions will </w:t>
      </w:r>
      <w:r>
        <w:t xml:space="preserve">meet the requirements of different programs. It would also be </w:t>
      </w:r>
      <w:r w:rsidR="00624772">
        <w:t>beneficial to align</w:t>
      </w:r>
      <w:r>
        <w:t xml:space="preserve"> MEP</w:t>
      </w:r>
      <w:r w:rsidR="00624772">
        <w:t xml:space="preserve"> and</w:t>
      </w:r>
      <w:r>
        <w:t xml:space="preserve"> MAPP </w:t>
      </w:r>
      <w:r w:rsidR="00624772">
        <w:t xml:space="preserve">with </w:t>
      </w:r>
      <w:r>
        <w:t xml:space="preserve">the </w:t>
      </w:r>
      <w:r w:rsidR="00624772">
        <w:t xml:space="preserve">FCM </w:t>
      </w:r>
      <w:r>
        <w:t xml:space="preserve">Partners for Climate Protection </w:t>
      </w:r>
      <w:r w:rsidR="0015230A">
        <w:t xml:space="preserve">(PCP) </w:t>
      </w:r>
      <w:r>
        <w:t xml:space="preserve">program </w:t>
      </w:r>
      <w:r w:rsidR="00365A94">
        <w:t>(</w:t>
      </w:r>
      <w:r w:rsidR="00624772">
        <w:t>with</w:t>
      </w:r>
      <w:r w:rsidR="00365A94">
        <w:t xml:space="preserve"> </w:t>
      </w:r>
      <w:r w:rsidR="00AB32D4">
        <w:t xml:space="preserve">almost </w:t>
      </w:r>
      <w:r>
        <w:t>80 Ontario members</w:t>
      </w:r>
      <w:r w:rsidR="00365A94">
        <w:t>)</w:t>
      </w:r>
      <w:r>
        <w:t xml:space="preserve">. It is clear that the Guidelines have tried to </w:t>
      </w:r>
      <w:r w:rsidR="00624772">
        <w:t>align</w:t>
      </w:r>
      <w:r>
        <w:t xml:space="preserve"> the various programs</w:t>
      </w:r>
      <w:r w:rsidR="00365A94">
        <w:t xml:space="preserve">. The </w:t>
      </w:r>
      <w:r w:rsidR="00624772">
        <w:t xml:space="preserve">three </w:t>
      </w:r>
      <w:r>
        <w:t xml:space="preserve">identified streams </w:t>
      </w:r>
      <w:r w:rsidR="00DA6CBB">
        <w:t xml:space="preserve">balance consistency and flexibility between the different </w:t>
      </w:r>
      <w:r w:rsidR="00624772">
        <w:t xml:space="preserve">planning and implementation </w:t>
      </w:r>
      <w:r w:rsidR="00DA6CBB">
        <w:t xml:space="preserve">programs that </w:t>
      </w:r>
      <w:proofErr w:type="gramStart"/>
      <w:r w:rsidR="00DA6CBB">
        <w:t>municipalities</w:t>
      </w:r>
      <w:proofErr w:type="gramEnd"/>
      <w:r w:rsidR="00DA6CBB">
        <w:t xml:space="preserve"> </w:t>
      </w:r>
      <w:r w:rsidR="00624772">
        <w:t>access</w:t>
      </w:r>
      <w:r w:rsidR="00DA6CBB">
        <w:t xml:space="preserve">. </w:t>
      </w:r>
      <w:r w:rsidR="0015230A">
        <w:t xml:space="preserve">It </w:t>
      </w:r>
      <w:r w:rsidR="00DA6CBB">
        <w:t xml:space="preserve">would also be of value to ensure that </w:t>
      </w:r>
      <w:r w:rsidR="00624772">
        <w:t xml:space="preserve">consistent </w:t>
      </w:r>
      <w:r w:rsidR="00DA6CBB">
        <w:t xml:space="preserve">communication occurs between MOECC, MOE and FCM </w:t>
      </w:r>
      <w:r w:rsidR="0015230A">
        <w:t xml:space="preserve">to ensure each </w:t>
      </w:r>
      <w:r w:rsidR="00624772">
        <w:t>is</w:t>
      </w:r>
      <w:r w:rsidR="00DA6CBB">
        <w:t xml:space="preserve"> aware of program changes that </w:t>
      </w:r>
      <w:r w:rsidR="00624772">
        <w:t>affect</w:t>
      </w:r>
      <w:r w:rsidR="0015230A">
        <w:t xml:space="preserve"> </w:t>
      </w:r>
      <w:r w:rsidR="00DA6CBB">
        <w:t>consistency/alignment between the</w:t>
      </w:r>
      <w:r w:rsidR="00624772">
        <w:t>ir</w:t>
      </w:r>
      <w:r w:rsidR="00DA6CBB">
        <w:t xml:space="preserve"> various programs</w:t>
      </w:r>
      <w:r w:rsidR="0015230A">
        <w:t>.</w:t>
      </w:r>
    </w:p>
    <w:p w:rsidR="00D252AA" w:rsidRPr="00D252AA" w:rsidRDefault="00754B65" w:rsidP="00AA7DED">
      <w:pPr>
        <w:rPr>
          <w:b/>
        </w:rPr>
      </w:pPr>
      <w:r w:rsidRPr="00D252AA">
        <w:rPr>
          <w:b/>
        </w:rPr>
        <w:t>Recommendation # 2: MOECC should work with other Ministries (e</w:t>
      </w:r>
      <w:r w:rsidR="00624772">
        <w:rPr>
          <w:b/>
        </w:rPr>
        <w:t>.g</w:t>
      </w:r>
      <w:r w:rsidRPr="00D252AA">
        <w:rPr>
          <w:b/>
        </w:rPr>
        <w:t>. Mi</w:t>
      </w:r>
      <w:r w:rsidR="005C5C9A">
        <w:rPr>
          <w:b/>
        </w:rPr>
        <w:t xml:space="preserve">nistry of Energy, IESO, and </w:t>
      </w:r>
      <w:r w:rsidRPr="00D252AA">
        <w:rPr>
          <w:b/>
        </w:rPr>
        <w:t xml:space="preserve">Ministry of Transportation) </w:t>
      </w:r>
      <w:r w:rsidR="00DA6CBB" w:rsidRPr="00D252AA">
        <w:rPr>
          <w:b/>
        </w:rPr>
        <w:t xml:space="preserve">to </w:t>
      </w:r>
      <w:r w:rsidRPr="00D252AA">
        <w:rPr>
          <w:b/>
        </w:rPr>
        <w:t>improve access to dat</w:t>
      </w:r>
      <w:r w:rsidR="00624772">
        <w:rPr>
          <w:b/>
        </w:rPr>
        <w:t>a to streamline</w:t>
      </w:r>
      <w:r w:rsidRPr="00D252AA">
        <w:rPr>
          <w:b/>
        </w:rPr>
        <w:t xml:space="preserve"> </w:t>
      </w:r>
      <w:r w:rsidR="00624772">
        <w:rPr>
          <w:b/>
        </w:rPr>
        <w:t xml:space="preserve">the </w:t>
      </w:r>
      <w:r w:rsidRPr="00D252AA">
        <w:rPr>
          <w:b/>
        </w:rPr>
        <w:t xml:space="preserve">energy and emissions inventory </w:t>
      </w:r>
      <w:r w:rsidR="00624772">
        <w:rPr>
          <w:b/>
        </w:rPr>
        <w:t>process.</w:t>
      </w:r>
    </w:p>
    <w:p w:rsidR="0015230A" w:rsidRDefault="00754B65" w:rsidP="00AA7DED">
      <w:r>
        <w:t xml:space="preserve">Municipalities spend </w:t>
      </w:r>
      <w:r w:rsidR="0015230A">
        <w:t xml:space="preserve">significant </w:t>
      </w:r>
      <w:r>
        <w:t xml:space="preserve">human and financial resources </w:t>
      </w:r>
      <w:r w:rsidR="00D252AA">
        <w:t>on data acquisition</w:t>
      </w:r>
      <w:r w:rsidR="0015230A">
        <w:t xml:space="preserve">. </w:t>
      </w:r>
      <w:r w:rsidR="00624772">
        <w:t xml:space="preserve">This </w:t>
      </w:r>
      <w:proofErr w:type="gramStart"/>
      <w:r w:rsidR="00624772">
        <w:t xml:space="preserve">could </w:t>
      </w:r>
      <w:r w:rsidR="0015230A">
        <w:t>be significantly reduced</w:t>
      </w:r>
      <w:proofErr w:type="gramEnd"/>
      <w:r w:rsidR="0015230A">
        <w:t xml:space="preserve"> </w:t>
      </w:r>
      <w:r>
        <w:t xml:space="preserve">if there was </w:t>
      </w:r>
      <w:r w:rsidR="00624772">
        <w:t>improved</w:t>
      </w:r>
      <w:r>
        <w:t xml:space="preserve"> access </w:t>
      </w:r>
      <w:r w:rsidR="00624772">
        <w:t xml:space="preserve">to </w:t>
      </w:r>
      <w:r>
        <w:t xml:space="preserve">data from provincial ministries and electric and gas utilities. For example, </w:t>
      </w:r>
      <w:r w:rsidR="00624772">
        <w:t>the</w:t>
      </w:r>
      <w:r>
        <w:t xml:space="preserve"> Ministry of Energy </w:t>
      </w:r>
      <w:r w:rsidR="00624772">
        <w:t>could require utilities to report annual energy use at a municipal</w:t>
      </w:r>
      <w:r w:rsidR="00E66F86">
        <w:t xml:space="preserve"> scale as opposed to the current</w:t>
      </w:r>
      <w:r w:rsidR="00624772">
        <w:t xml:space="preserve"> ut</w:t>
      </w:r>
      <w:r w:rsidR="00E66F86">
        <w:t xml:space="preserve">ility-level, </w:t>
      </w:r>
      <w:r w:rsidR="00D252AA">
        <w:t>streamlin</w:t>
      </w:r>
      <w:r w:rsidR="00E66F86">
        <w:t>ing</w:t>
      </w:r>
      <w:r w:rsidR="00D252AA">
        <w:t xml:space="preserve"> access to utility energy use data for all Ontario municipalities and </w:t>
      </w:r>
      <w:r w:rsidR="00E66F86">
        <w:t xml:space="preserve">relieving utilities of </w:t>
      </w:r>
      <w:r w:rsidR="00D252AA">
        <w:t xml:space="preserve">many individual </w:t>
      </w:r>
      <w:r w:rsidR="00E66F86">
        <w:t xml:space="preserve">municipal data </w:t>
      </w:r>
      <w:r w:rsidR="00D252AA">
        <w:t xml:space="preserve">requests. </w:t>
      </w:r>
    </w:p>
    <w:p w:rsidR="0015230A" w:rsidRDefault="00D252AA" w:rsidP="00AA7DED">
      <w:r>
        <w:t>Another opportuni</w:t>
      </w:r>
      <w:r w:rsidR="00E66F86">
        <w:t>ty</w:t>
      </w:r>
      <w:r>
        <w:t xml:space="preserve"> to streamline data access would be for the Ministry of Transportation to share</w:t>
      </w:r>
      <w:r w:rsidR="00AA74ED">
        <w:t xml:space="preserve"> data on vehicle ownership, type of vehicle </w:t>
      </w:r>
      <w:r>
        <w:t xml:space="preserve">and </w:t>
      </w:r>
      <w:r w:rsidR="00AA74ED">
        <w:t xml:space="preserve">mileage reporting. </w:t>
      </w:r>
      <w:r>
        <w:t xml:space="preserve">At present </w:t>
      </w:r>
      <w:r w:rsidR="00E66F86">
        <w:t xml:space="preserve">only municipalities with sufficient </w:t>
      </w:r>
      <w:proofErr w:type="gramStart"/>
      <w:r w:rsidR="00E66F86">
        <w:t>resources</w:t>
      </w:r>
      <w:proofErr w:type="gramEnd"/>
      <w:r w:rsidR="00E66F86">
        <w:t xml:space="preserve"> </w:t>
      </w:r>
      <w:r>
        <w:t>purchase this data from third party</w:t>
      </w:r>
      <w:r w:rsidR="00E66F86">
        <w:t xml:space="preserve"> providers</w:t>
      </w:r>
      <w:r w:rsidR="00AB32D4">
        <w:t xml:space="preserve">. </w:t>
      </w:r>
      <w:r w:rsidR="00B725E4">
        <w:t xml:space="preserve">In addition, access </w:t>
      </w:r>
      <w:r w:rsidR="0015230A">
        <w:t xml:space="preserve">to </w:t>
      </w:r>
      <w:r w:rsidR="00AA74ED">
        <w:t>mileage</w:t>
      </w:r>
      <w:r w:rsidR="00E66F86">
        <w:t xml:space="preserve"> </w:t>
      </w:r>
      <w:r w:rsidR="0015230A">
        <w:t>information</w:t>
      </w:r>
      <w:r w:rsidR="00B725E4">
        <w:t xml:space="preserve"> is not available for purchase and as such</w:t>
      </w:r>
      <w:r w:rsidR="0015230A">
        <w:t>,</w:t>
      </w:r>
      <w:r w:rsidR="00E66F86">
        <w:t xml:space="preserve"> </w:t>
      </w:r>
      <w:r w:rsidR="00AA74ED">
        <w:t xml:space="preserve">mileage </w:t>
      </w:r>
      <w:r w:rsidR="00E66F86">
        <w:t xml:space="preserve">figures </w:t>
      </w:r>
      <w:proofErr w:type="gramStart"/>
      <w:r w:rsidR="00B725E4">
        <w:t>are based</w:t>
      </w:r>
      <w:proofErr w:type="gramEnd"/>
      <w:r w:rsidR="00B725E4">
        <w:t xml:space="preserve"> on </w:t>
      </w:r>
      <w:r w:rsidR="00E66F86">
        <w:t xml:space="preserve">inaccurate </w:t>
      </w:r>
      <w:r w:rsidR="00B725E4">
        <w:t>estimates and assumptions</w:t>
      </w:r>
      <w:r w:rsidR="00E66F86">
        <w:t xml:space="preserve">, </w:t>
      </w:r>
      <w:r w:rsidR="00AA74ED">
        <w:t xml:space="preserve">thus </w:t>
      </w:r>
      <w:r w:rsidR="00B725E4">
        <w:t>reducing thei</w:t>
      </w:r>
      <w:r w:rsidR="00E66F86">
        <w:t xml:space="preserve">r </w:t>
      </w:r>
      <w:r w:rsidR="00B725E4">
        <w:t xml:space="preserve">ability to inform possible interventions. </w:t>
      </w:r>
    </w:p>
    <w:p w:rsidR="0015230A" w:rsidRDefault="0015230A" w:rsidP="00AA7DED">
      <w:r>
        <w:t>In addition,</w:t>
      </w:r>
      <w:r w:rsidR="00AA3299">
        <w:t xml:space="preserve"> data </w:t>
      </w:r>
      <w:r w:rsidR="00822D5F">
        <w:t>c</w:t>
      </w:r>
      <w:r w:rsidR="00AA3299">
        <w:t xml:space="preserve">ollected </w:t>
      </w:r>
      <w:r w:rsidR="00B234DB">
        <w:t xml:space="preserve">by MOE </w:t>
      </w:r>
      <w:r w:rsidR="00AA3299">
        <w:t xml:space="preserve">via the </w:t>
      </w:r>
      <w:r w:rsidR="00B234DB">
        <w:t>Large Building Energy and Water Reporting and Benchmarking requirement</w:t>
      </w:r>
      <w:r w:rsidR="00822D5F">
        <w:t xml:space="preserve"> would </w:t>
      </w:r>
      <w:r w:rsidR="00B234DB">
        <w:t xml:space="preserve">inform </w:t>
      </w:r>
      <w:r w:rsidR="00822D5F">
        <w:t xml:space="preserve">municipal </w:t>
      </w:r>
      <w:r w:rsidR="00B234DB">
        <w:t>energy use and emissions reduction opportunities within the large building commercial sector</w:t>
      </w:r>
      <w:r w:rsidR="00822D5F">
        <w:t xml:space="preserve"> if it </w:t>
      </w:r>
      <w:proofErr w:type="gramStart"/>
      <w:r w:rsidR="00822D5F">
        <w:t>were made</w:t>
      </w:r>
      <w:proofErr w:type="gramEnd"/>
      <w:r w:rsidR="00822D5F">
        <w:t xml:space="preserve"> available</w:t>
      </w:r>
      <w:r w:rsidR="00B234DB">
        <w:t xml:space="preserve">. </w:t>
      </w:r>
    </w:p>
    <w:p w:rsidR="00DA6CBB" w:rsidRDefault="00CB4D01" w:rsidP="00AA7DED">
      <w:r>
        <w:t xml:space="preserve">Another option </w:t>
      </w:r>
      <w:r w:rsidR="00822D5F">
        <w:t>to</w:t>
      </w:r>
      <w:r>
        <w:t xml:space="preserve"> increase the efficiency of the inventory </w:t>
      </w:r>
      <w:r w:rsidR="0015230A">
        <w:t xml:space="preserve">process would be to emulate </w:t>
      </w:r>
      <w:r>
        <w:t>British Columbia</w:t>
      </w:r>
      <w:r w:rsidR="0015230A">
        <w:t>’s</w:t>
      </w:r>
      <w:r>
        <w:t xml:space="preserve"> example of the </w:t>
      </w:r>
      <w:hyperlink r:id="rId10" w:history="1">
        <w:r w:rsidRPr="00CB4D01">
          <w:rPr>
            <w:rStyle w:val="Hyperlink"/>
          </w:rPr>
          <w:t>Community Energy and Emissions Inventory</w:t>
        </w:r>
      </w:hyperlink>
      <w:r>
        <w:t xml:space="preserve"> where </w:t>
      </w:r>
      <w:r w:rsidR="00822D5F">
        <w:t xml:space="preserve">that province </w:t>
      </w:r>
      <w:r>
        <w:t>provide</w:t>
      </w:r>
      <w:r w:rsidR="00AA3299">
        <w:t>d</w:t>
      </w:r>
      <w:r>
        <w:t xml:space="preserve"> municipalities with a</w:t>
      </w:r>
      <w:r w:rsidR="00AA3299">
        <w:t>n</w:t>
      </w:r>
      <w:r>
        <w:t xml:space="preserve"> indicative inventory of energy use, greenhouse gas emissions and supporting indicators at the community level. </w:t>
      </w:r>
    </w:p>
    <w:p w:rsidR="005C5C9A" w:rsidRDefault="005C5C9A" w:rsidP="00AA7DED">
      <w:r>
        <w:t xml:space="preserve">It would also be of value to have increased alignment and data sharing with the IESO to be able </w:t>
      </w:r>
      <w:proofErr w:type="gramStart"/>
      <w:r>
        <w:t>to better understand</w:t>
      </w:r>
      <w:proofErr w:type="gramEnd"/>
      <w:r>
        <w:t xml:space="preserve"> where there is significant potential and need for local electricity generation. </w:t>
      </w:r>
    </w:p>
    <w:p w:rsidR="00DA7311" w:rsidRDefault="00B234DB" w:rsidP="00AA7DED">
      <w:r w:rsidRPr="00DA7311">
        <w:rPr>
          <w:b/>
        </w:rPr>
        <w:t xml:space="preserve">Recommendation # 3: Target setting </w:t>
      </w:r>
      <w:proofErr w:type="gramStart"/>
      <w:r w:rsidRPr="00DA7311">
        <w:rPr>
          <w:b/>
        </w:rPr>
        <w:t>can be improved</w:t>
      </w:r>
      <w:proofErr w:type="gramEnd"/>
      <w:r w:rsidRPr="00DA7311">
        <w:rPr>
          <w:b/>
        </w:rPr>
        <w:t xml:space="preserve"> by helping municipalities understand </w:t>
      </w:r>
      <w:r w:rsidR="00133D91">
        <w:rPr>
          <w:b/>
        </w:rPr>
        <w:t xml:space="preserve">hot </w:t>
      </w:r>
      <w:r w:rsidRPr="00DA7311">
        <w:rPr>
          <w:b/>
        </w:rPr>
        <w:t>federal and provincial policies</w:t>
      </w:r>
      <w:r w:rsidR="00133D91">
        <w:rPr>
          <w:b/>
        </w:rPr>
        <w:t xml:space="preserve"> affect</w:t>
      </w:r>
      <w:r w:rsidRPr="00DA7311">
        <w:rPr>
          <w:b/>
        </w:rPr>
        <w:t xml:space="preserve"> future energy and emissions scenarios (undertaking the scenario </w:t>
      </w:r>
      <w:r w:rsidR="00822ED4" w:rsidRPr="00DA7311">
        <w:rPr>
          <w:b/>
        </w:rPr>
        <w:t>calculations</w:t>
      </w:r>
      <w:r w:rsidRPr="00DA7311">
        <w:rPr>
          <w:b/>
        </w:rPr>
        <w:t xml:space="preserve"> at the provincial scale and then sharing those scenarios with </w:t>
      </w:r>
      <w:r w:rsidR="00822ED4" w:rsidRPr="00DA7311">
        <w:rPr>
          <w:b/>
        </w:rPr>
        <w:t>municipalities</w:t>
      </w:r>
      <w:r w:rsidRPr="00DA7311">
        <w:rPr>
          <w:b/>
        </w:rPr>
        <w:t>).</w:t>
      </w:r>
      <w:r>
        <w:t xml:space="preserve"> </w:t>
      </w:r>
    </w:p>
    <w:p w:rsidR="00B234DB" w:rsidRDefault="00B234DB" w:rsidP="00AA7DED">
      <w:r>
        <w:t xml:space="preserve">If municipalities better </w:t>
      </w:r>
      <w:r w:rsidR="0030287D">
        <w:t>understood</w:t>
      </w:r>
      <w:r>
        <w:t xml:space="preserve"> </w:t>
      </w:r>
      <w:r w:rsidR="0030287D">
        <w:t xml:space="preserve">and could calculate </w:t>
      </w:r>
      <w:r w:rsidR="00133D91">
        <w:t xml:space="preserve">how </w:t>
      </w:r>
      <w:r>
        <w:t xml:space="preserve">policies such as </w:t>
      </w:r>
      <w:r w:rsidR="00822ED4">
        <w:t xml:space="preserve">the </w:t>
      </w:r>
      <w:r>
        <w:t xml:space="preserve">Clean Fuel Standards or Vehicle </w:t>
      </w:r>
      <w:r w:rsidR="0030287D">
        <w:t xml:space="preserve">Fuel </w:t>
      </w:r>
      <w:r>
        <w:t>Standards</w:t>
      </w:r>
      <w:r w:rsidR="00133D91">
        <w:t xml:space="preserve"> affect</w:t>
      </w:r>
      <w:r>
        <w:t xml:space="preserve"> their BAU scenarios within their communities</w:t>
      </w:r>
      <w:r w:rsidR="00133D91">
        <w:t xml:space="preserve">, they could </w:t>
      </w:r>
      <w:r>
        <w:t xml:space="preserve">set </w:t>
      </w:r>
      <w:r w:rsidR="00133D91">
        <w:t xml:space="preserve">more ambitious, well-supported </w:t>
      </w:r>
      <w:r w:rsidR="00AB32D4">
        <w:t>targets</w:t>
      </w:r>
      <w:r>
        <w:t xml:space="preserve">. </w:t>
      </w:r>
    </w:p>
    <w:p w:rsidR="00822ED4" w:rsidRDefault="00133D91" w:rsidP="00822ED4">
      <w:r>
        <w:lastRenderedPageBreak/>
        <w:t xml:space="preserve">Undertaking this analysis provincially would enable municipalities to visualize the trajectories of emissions reductions from policies that </w:t>
      </w:r>
      <w:proofErr w:type="gramStart"/>
      <w:r>
        <w:t>will be implemented</w:t>
      </w:r>
      <w:proofErr w:type="gramEnd"/>
      <w:r>
        <w:t xml:space="preserve"> at other levels of government,</w:t>
      </w:r>
      <w:r w:rsidR="00822ED4">
        <w:t xml:space="preserve"> </w:t>
      </w:r>
      <w:r>
        <w:t xml:space="preserve">allowing for the </w:t>
      </w:r>
      <w:r w:rsidR="00822ED4">
        <w:t xml:space="preserve">adoption of more ambitious </w:t>
      </w:r>
      <w:r>
        <w:t>municipal GHG</w:t>
      </w:r>
      <w:r w:rsidR="00822ED4">
        <w:t xml:space="preserve"> reduction targets. This will also increase understanding of the importance of those higher level policies and actions. The capacity to undertake that analysis at the municipal scale </w:t>
      </w:r>
      <w:r>
        <w:t>is in</w:t>
      </w:r>
      <w:r w:rsidR="00822ED4">
        <w:t xml:space="preserve">efficient, </w:t>
      </w:r>
      <w:r>
        <w:t xml:space="preserve">and </w:t>
      </w:r>
      <w:r w:rsidR="00822ED4">
        <w:t>beyond the capability</w:t>
      </w:r>
      <w:r>
        <w:t xml:space="preserve"> of most municipalities due to resource constraints</w:t>
      </w:r>
      <w:r w:rsidR="00822ED4">
        <w:t xml:space="preserve">. </w:t>
      </w:r>
    </w:p>
    <w:p w:rsidR="00A3020D" w:rsidRDefault="00A3020D" w:rsidP="00822ED4">
      <w:r>
        <w:t xml:space="preserve">Increasing alignment between the Climate Change Action Plan target timelines and the Growth Plan population growth timelines would help municipalities align their population growth estimates with </w:t>
      </w:r>
      <w:proofErr w:type="spellStart"/>
      <w:r>
        <w:t>ghg</w:t>
      </w:r>
      <w:proofErr w:type="spellEnd"/>
      <w:r>
        <w:t xml:space="preserve"> targets. For </w:t>
      </w:r>
      <w:proofErr w:type="gramStart"/>
      <w:r>
        <w:t>example</w:t>
      </w:r>
      <w:proofErr w:type="gramEnd"/>
      <w:r>
        <w:t xml:space="preserve"> the Growth Plan has </w:t>
      </w:r>
      <w:r>
        <w:t>population growth projected to 2041, while the Climate Change Action Plan has estimations for 2050 and 2080</w:t>
      </w:r>
      <w:r>
        <w:t xml:space="preserve"> related to target dates. </w:t>
      </w:r>
    </w:p>
    <w:p w:rsidR="00F518FB" w:rsidRDefault="00F518FB" w:rsidP="00822ED4">
      <w:pPr>
        <w:rPr>
          <w:b/>
        </w:rPr>
      </w:pPr>
      <w:r>
        <w:rPr>
          <w:b/>
        </w:rPr>
        <w:t xml:space="preserve">Recommendation # 4: Capacity building and support on Task 4.2 Scenario Development; 4.3 Modelling and Task 4.4 Analysis of Co-Benefits would </w:t>
      </w:r>
      <w:r w:rsidR="002C70C9">
        <w:rPr>
          <w:b/>
        </w:rPr>
        <w:t>help</w:t>
      </w:r>
      <w:r>
        <w:rPr>
          <w:b/>
        </w:rPr>
        <w:t xml:space="preserve"> all Ontario municipalities, but especially smaller </w:t>
      </w:r>
      <w:r w:rsidR="000F25EF">
        <w:rPr>
          <w:b/>
        </w:rPr>
        <w:t>municipalities</w:t>
      </w:r>
      <w:r>
        <w:rPr>
          <w:b/>
        </w:rPr>
        <w:t xml:space="preserve">. </w:t>
      </w:r>
    </w:p>
    <w:p w:rsidR="000F25EF" w:rsidRPr="000F25EF" w:rsidRDefault="000F25EF" w:rsidP="00822ED4">
      <w:r w:rsidRPr="000F25EF">
        <w:t xml:space="preserve">Undertaking the </w:t>
      </w:r>
      <w:proofErr w:type="gramStart"/>
      <w:r w:rsidRPr="000F25EF">
        <w:t>above identified</w:t>
      </w:r>
      <w:proofErr w:type="gramEnd"/>
      <w:r w:rsidRPr="000F25EF">
        <w:t xml:space="preserve"> task</w:t>
      </w:r>
      <w:r w:rsidR="0030287D">
        <w:t>s</w:t>
      </w:r>
      <w:r w:rsidRPr="000F25EF">
        <w:t xml:space="preserve"> is </w:t>
      </w:r>
      <w:r w:rsidR="002C70C9">
        <w:t xml:space="preserve">a </w:t>
      </w:r>
      <w:r w:rsidRPr="000F25EF">
        <w:t xml:space="preserve">challenging and expensive step in the Climate Action Planning process. </w:t>
      </w:r>
      <w:r w:rsidR="002C70C9">
        <w:t>Working with</w:t>
      </w:r>
      <w:r>
        <w:t xml:space="preserve"> municipalities to share experiences and results of that work would be of significant value</w:t>
      </w:r>
      <w:r w:rsidR="002C70C9">
        <w:t xml:space="preserve">, </w:t>
      </w:r>
      <w:r>
        <w:t>enabl</w:t>
      </w:r>
      <w:r w:rsidR="002C70C9">
        <w:t>ing</w:t>
      </w:r>
      <w:r>
        <w:t xml:space="preserve"> more resources to </w:t>
      </w:r>
      <w:proofErr w:type="gramStart"/>
      <w:r>
        <w:t>be allocated</w:t>
      </w:r>
      <w:proofErr w:type="gramEnd"/>
      <w:r>
        <w:t xml:space="preserve"> to </w:t>
      </w:r>
      <w:r w:rsidR="002C70C9">
        <w:t xml:space="preserve">the </w:t>
      </w:r>
      <w:r>
        <w:t xml:space="preserve">implementation </w:t>
      </w:r>
      <w:r w:rsidR="002C70C9">
        <w:t>of GHG reduction actions</w:t>
      </w:r>
      <w:r>
        <w:t xml:space="preserve">. While no two communities are the same, there are </w:t>
      </w:r>
      <w:r w:rsidR="002C70C9">
        <w:t xml:space="preserve">many </w:t>
      </w:r>
      <w:r>
        <w:t xml:space="preserve">similarities </w:t>
      </w:r>
      <w:r w:rsidR="002C70C9">
        <w:t>in the</w:t>
      </w:r>
      <w:r>
        <w:t xml:space="preserve"> climate actions </w:t>
      </w:r>
      <w:r w:rsidR="002C70C9">
        <w:t>outlined</w:t>
      </w:r>
      <w:r w:rsidR="00EA149C">
        <w:t xml:space="preserve"> in climate action plans. A</w:t>
      </w:r>
      <w:r>
        <w:t>s such</w:t>
      </w:r>
      <w:r w:rsidR="00EA149C">
        <w:t>,</w:t>
      </w:r>
      <w:r>
        <w:t xml:space="preserve"> it would be of significant value to allocate resources to </w:t>
      </w:r>
      <w:r w:rsidR="002C70C9">
        <w:t xml:space="preserve">these tasks so municipalities can </w:t>
      </w:r>
      <w:r>
        <w:t xml:space="preserve">understand what these actions mean to their local economic, social and environmental priorities. </w:t>
      </w:r>
      <w:r w:rsidR="005C5C9A">
        <w:t xml:space="preserve">Advancing this effort </w:t>
      </w:r>
      <w:r w:rsidR="00A3020D">
        <w:t xml:space="preserve">in a more collaborative manner </w:t>
      </w:r>
      <w:r w:rsidR="005C5C9A">
        <w:t xml:space="preserve">would also better enable municipalities to understand </w:t>
      </w:r>
      <w:r w:rsidR="00A3020D">
        <w:t xml:space="preserve">how their local circumstances and </w:t>
      </w:r>
      <w:proofErr w:type="spellStart"/>
      <w:r w:rsidR="00A3020D">
        <w:t>ghg</w:t>
      </w:r>
      <w:proofErr w:type="spellEnd"/>
      <w:r w:rsidR="00A3020D">
        <w:t xml:space="preserve"> reduction opportunities can inform their target setting. For example, guidance for scenario suggestions and calculations for municipal archetypes would be of significant value (</w:t>
      </w:r>
      <w:proofErr w:type="spellStart"/>
      <w:proofErr w:type="gramStart"/>
      <w:r w:rsidR="00A3020D">
        <w:t>i.e</w:t>
      </w:r>
      <w:proofErr w:type="spellEnd"/>
      <w:r w:rsidR="00A3020D">
        <w:t xml:space="preserve"> population growth municipalities</w:t>
      </w:r>
      <w:proofErr w:type="gramEnd"/>
      <w:r w:rsidR="000D4C3A">
        <w:t xml:space="preserve"> versus stable population </w:t>
      </w:r>
      <w:r w:rsidR="00A3020D">
        <w:t>municipalities</w:t>
      </w:r>
      <w:r w:rsidR="000D4C3A">
        <w:t>;</w:t>
      </w:r>
      <w:r w:rsidR="00A3020D">
        <w:t xml:space="preserve"> rural, suburban, urban</w:t>
      </w:r>
      <w:r w:rsidR="000D4C3A">
        <w:t xml:space="preserve">; and other municipal archetypes that may be able to inform </w:t>
      </w:r>
      <w:proofErr w:type="spellStart"/>
      <w:r w:rsidR="000D4C3A">
        <w:t>ghg</w:t>
      </w:r>
      <w:proofErr w:type="spellEnd"/>
      <w:r w:rsidR="000D4C3A">
        <w:t xml:space="preserve"> reduction opportunities and calculations to inform target setting).</w:t>
      </w:r>
      <w:r w:rsidR="005C5C9A">
        <w:t xml:space="preserve"> </w:t>
      </w:r>
      <w:r w:rsidR="0030287D">
        <w:t xml:space="preserve">It would of course be important to share methodology and assumptions to ensure transparency and </w:t>
      </w:r>
      <w:r w:rsidR="002C70C9">
        <w:t xml:space="preserve">to </w:t>
      </w:r>
      <w:r w:rsidR="0030287D">
        <w:t xml:space="preserve">enable municipalities to understand how the assumptions used speak to their local circumstances. </w:t>
      </w:r>
      <w:bookmarkStart w:id="0" w:name="_GoBack"/>
      <w:bookmarkEnd w:id="0"/>
    </w:p>
    <w:p w:rsidR="00F518FB" w:rsidRDefault="00F518FB" w:rsidP="00822ED4">
      <w:pPr>
        <w:rPr>
          <w:b/>
        </w:rPr>
      </w:pPr>
    </w:p>
    <w:p w:rsidR="00822ED4" w:rsidRPr="00F518FB" w:rsidRDefault="00EA149C" w:rsidP="00822ED4">
      <w:pPr>
        <w:rPr>
          <w:b/>
        </w:rPr>
      </w:pPr>
      <w:r>
        <w:rPr>
          <w:b/>
        </w:rPr>
        <w:t>Recommendation # 5</w:t>
      </w:r>
      <w:r w:rsidR="00822ED4" w:rsidRPr="00F518FB">
        <w:rPr>
          <w:b/>
        </w:rPr>
        <w:t xml:space="preserve">: </w:t>
      </w:r>
      <w:r w:rsidR="00DA7311" w:rsidRPr="00F518FB">
        <w:rPr>
          <w:b/>
        </w:rPr>
        <w:t>Implementation support such as the Municipal Challenge Fund is imperative to ensure Climate Action Plan development translates into Clima</w:t>
      </w:r>
      <w:r w:rsidR="005F4885" w:rsidRPr="00F518FB">
        <w:rPr>
          <w:b/>
        </w:rPr>
        <w:t xml:space="preserve">te Action Plan Implementation. </w:t>
      </w:r>
    </w:p>
    <w:p w:rsidR="00DA7311" w:rsidRDefault="006A2E45" w:rsidP="00822ED4">
      <w:r>
        <w:t xml:space="preserve">This </w:t>
      </w:r>
      <w:r w:rsidR="005F4885">
        <w:t xml:space="preserve">draft Guideline provides guidance for municipalities to </w:t>
      </w:r>
      <w:r w:rsidR="0030287D">
        <w:t>develop Climate A</w:t>
      </w:r>
      <w:r w:rsidR="005F4885">
        <w:t xml:space="preserve">ction </w:t>
      </w:r>
      <w:proofErr w:type="gramStart"/>
      <w:r w:rsidR="005F4885">
        <w:t>Plans</w:t>
      </w:r>
      <w:r w:rsidR="00CD2479">
        <w:t>,</w:t>
      </w:r>
      <w:proofErr w:type="gramEnd"/>
      <w:r w:rsidR="00CD2479">
        <w:t xml:space="preserve"> </w:t>
      </w:r>
      <w:r w:rsidR="005F4885">
        <w:t xml:space="preserve">however </w:t>
      </w:r>
      <w:r w:rsidR="00CD2479">
        <w:t>any</w:t>
      </w:r>
      <w:r w:rsidR="005F4885">
        <w:t xml:space="preserve"> Cli</w:t>
      </w:r>
      <w:r>
        <w:t>mate A</w:t>
      </w:r>
      <w:r w:rsidR="005F4885">
        <w:t xml:space="preserve">ction Plan </w:t>
      </w:r>
      <w:r w:rsidR="00CD2479">
        <w:t>must</w:t>
      </w:r>
      <w:r w:rsidR="005F4885">
        <w:t xml:space="preserve"> result in </w:t>
      </w:r>
      <w:r w:rsidR="00CD2479">
        <w:t xml:space="preserve">the </w:t>
      </w:r>
      <w:r w:rsidR="005F4885">
        <w:t>implementation of climate actions. Securing funding support for community climate actions is extremely challenging</w:t>
      </w:r>
      <w:r w:rsidR="00CD2479">
        <w:t xml:space="preserve"> using existing</w:t>
      </w:r>
      <w:r w:rsidR="0030287D">
        <w:t xml:space="preserve"> </w:t>
      </w:r>
      <w:r w:rsidR="005F4885">
        <w:t xml:space="preserve">property tax </w:t>
      </w:r>
      <w:r w:rsidR="0030287D">
        <w:t>base</w:t>
      </w:r>
      <w:r w:rsidR="00CD2479">
        <w:t>s,</w:t>
      </w:r>
      <w:r w:rsidR="0030287D">
        <w:t xml:space="preserve"> </w:t>
      </w:r>
      <w:r w:rsidR="005F4885">
        <w:t xml:space="preserve">and unless supports such as the Municipal Challenge Fund (and similar such funds available from </w:t>
      </w:r>
      <w:r w:rsidR="00CD2479">
        <w:t>other governments or agencies</w:t>
      </w:r>
      <w:r w:rsidR="005F4885">
        <w:t>) are available to Ontario municipalities</w:t>
      </w:r>
      <w:r w:rsidR="0030287D">
        <w:t>,</w:t>
      </w:r>
      <w:r w:rsidR="005F4885">
        <w:t xml:space="preserve"> their ability to turn planning into action </w:t>
      </w:r>
      <w:r w:rsidR="00CD2479">
        <w:t>is</w:t>
      </w:r>
      <w:r w:rsidR="005F4885">
        <w:t xml:space="preserve"> significantly </w:t>
      </w:r>
      <w:r>
        <w:t>undermined</w:t>
      </w:r>
      <w:r w:rsidR="00F518FB">
        <w:t>. The P</w:t>
      </w:r>
      <w:r>
        <w:t xml:space="preserve">rovince should consult with municipalities on </w:t>
      </w:r>
      <w:r w:rsidR="00F518FB">
        <w:t xml:space="preserve">how to ensure the reinvestment of Ontario’s cap and trade funds results in cost effective </w:t>
      </w:r>
      <w:r w:rsidR="00CD2479">
        <w:t xml:space="preserve">GHG </w:t>
      </w:r>
      <w:r w:rsidR="00F518FB">
        <w:t>reduction actions</w:t>
      </w:r>
      <w:r w:rsidR="007B5DC8">
        <w:t>,</w:t>
      </w:r>
      <w:r w:rsidR="00F518FB">
        <w:t xml:space="preserve"> </w:t>
      </w:r>
      <w:r w:rsidR="0030287D">
        <w:t>while also ensuring</w:t>
      </w:r>
      <w:r w:rsidR="00F518FB">
        <w:t xml:space="preserve"> it moves towards </w:t>
      </w:r>
      <w:r w:rsidR="00CD2479">
        <w:t xml:space="preserve">those </w:t>
      </w:r>
      <w:r w:rsidR="00F518FB">
        <w:t>long</w:t>
      </w:r>
      <w:r w:rsidR="00CD2479">
        <w:t>-</w:t>
      </w:r>
      <w:r w:rsidR="00F518FB">
        <w:t xml:space="preserve">term transformative actions that will move Ontario towards </w:t>
      </w:r>
      <w:r w:rsidR="00CD2479">
        <w:t xml:space="preserve">our </w:t>
      </w:r>
      <w:r w:rsidR="00F518FB">
        <w:t xml:space="preserve">80% </w:t>
      </w:r>
      <w:r w:rsidR="00CD2479">
        <w:t>by 2050 GHG reduct</w:t>
      </w:r>
      <w:r w:rsidR="00F518FB">
        <w:t>ion goal. Without the reinvestment of cap and trade</w:t>
      </w:r>
      <w:r w:rsidR="00D754E2">
        <w:t xml:space="preserve"> funds</w:t>
      </w:r>
      <w:r w:rsidR="0030287D">
        <w:t>,</w:t>
      </w:r>
      <w:r w:rsidR="00D754E2">
        <w:t xml:space="preserve"> resources for implementation</w:t>
      </w:r>
      <w:r w:rsidR="00F518FB">
        <w:t xml:space="preserve"> of</w:t>
      </w:r>
      <w:r w:rsidR="0030287D">
        <w:t xml:space="preserve"> community climate actions </w:t>
      </w:r>
      <w:proofErr w:type="gramStart"/>
      <w:r w:rsidR="00CD2479">
        <w:t>will be</w:t>
      </w:r>
      <w:r w:rsidR="00F518FB">
        <w:t xml:space="preserve"> significantly compromised</w:t>
      </w:r>
      <w:proofErr w:type="gramEnd"/>
      <w:r w:rsidR="00F518FB">
        <w:t xml:space="preserve">. </w:t>
      </w:r>
    </w:p>
    <w:p w:rsidR="00D754E2" w:rsidRDefault="00D754E2" w:rsidP="00822ED4">
      <w:r>
        <w:t>In addition, promot</w:t>
      </w:r>
      <w:r w:rsidR="00044C2D">
        <w:t>ing</w:t>
      </w:r>
      <w:r>
        <w:t xml:space="preserve"> and shar</w:t>
      </w:r>
      <w:r w:rsidR="00044C2D">
        <w:t xml:space="preserve">ing implementation </w:t>
      </w:r>
      <w:r>
        <w:t xml:space="preserve">case studies would help to raise the profile of the </w:t>
      </w:r>
      <w:r w:rsidR="00044C2D">
        <w:t xml:space="preserve">implementation </w:t>
      </w:r>
      <w:r>
        <w:t xml:space="preserve">value proposition. The </w:t>
      </w:r>
      <w:r w:rsidR="00044C2D">
        <w:t>CAC</w:t>
      </w:r>
      <w:r>
        <w:t xml:space="preserve"> would welcome the opportunity to work with MOECC and other </w:t>
      </w:r>
      <w:r w:rsidR="00044C2D">
        <w:t>M</w:t>
      </w:r>
      <w:r>
        <w:t xml:space="preserve">inistries to develop </w:t>
      </w:r>
      <w:r w:rsidR="00E36F42">
        <w:t>examine which</w:t>
      </w:r>
      <w:r>
        <w:t xml:space="preserve"> mechanisms </w:t>
      </w:r>
      <w:r w:rsidR="00E36F42">
        <w:t xml:space="preserve">would </w:t>
      </w:r>
      <w:r>
        <w:t xml:space="preserve">provide the greatest likelihood of advancement from climate action planning towards implementation. </w:t>
      </w:r>
    </w:p>
    <w:p w:rsidR="00E93B63" w:rsidRPr="001318EA" w:rsidRDefault="00E93B63" w:rsidP="00E93B63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1318EA">
        <w:rPr>
          <w:b/>
        </w:rPr>
        <w:t xml:space="preserve">Recommendation # </w:t>
      </w:r>
      <w:r w:rsidR="00E36F42">
        <w:rPr>
          <w:b/>
        </w:rPr>
        <w:t>6</w:t>
      </w:r>
      <w:r w:rsidRPr="001318EA">
        <w:rPr>
          <w:b/>
        </w:rPr>
        <w:t xml:space="preserve">: Highlight the important role stakeholder engagement plays in ensuring Climate Action Plan implementation. </w:t>
      </w:r>
    </w:p>
    <w:p w:rsidR="00E93B63" w:rsidRDefault="00E93B63" w:rsidP="00E93B63">
      <w:pPr>
        <w:tabs>
          <w:tab w:val="center" w:pos="4680"/>
          <w:tab w:val="right" w:pos="9360"/>
        </w:tabs>
        <w:spacing w:after="0" w:line="240" w:lineRule="auto"/>
      </w:pPr>
    </w:p>
    <w:p w:rsidR="00E93B63" w:rsidRDefault="001318EA" w:rsidP="00E93B63">
      <w:pPr>
        <w:tabs>
          <w:tab w:val="center" w:pos="4680"/>
          <w:tab w:val="right" w:pos="9360"/>
        </w:tabs>
        <w:spacing w:after="0" w:line="240" w:lineRule="auto"/>
      </w:pPr>
      <w:r>
        <w:t xml:space="preserve">While </w:t>
      </w:r>
      <w:r w:rsidR="00E93B63">
        <w:t>Stakeholder engagement is referenced within the Guideline and there is a section dedicated to stakeholder engagem</w:t>
      </w:r>
      <w:r>
        <w:t xml:space="preserve">ent at the end of the document; </w:t>
      </w:r>
      <w:r w:rsidR="00E93B63">
        <w:t xml:space="preserve">the significant role and importance stakeholder engagement plays in ensuring the greatest likelihood of implementation success </w:t>
      </w:r>
      <w:r>
        <w:t>leads to the recommendation to increase the profile of stakeholder engagement within Part A and Part B of the Guideline. This would help to ensure that stakeholder engagement opportunities are advanced throughout the Climate Action Plan process</w:t>
      </w:r>
      <w:r w:rsidR="00E36F42">
        <w:t xml:space="preserve"> from the onset, which is key to implementation success later</w:t>
      </w:r>
      <w:r>
        <w:t xml:space="preserve">. </w:t>
      </w:r>
    </w:p>
    <w:p w:rsidR="00E93B63" w:rsidRDefault="00E93B63" w:rsidP="00E93B63">
      <w:pPr>
        <w:tabs>
          <w:tab w:val="center" w:pos="4680"/>
          <w:tab w:val="right" w:pos="9360"/>
        </w:tabs>
        <w:spacing w:after="0" w:line="240" w:lineRule="auto"/>
      </w:pPr>
    </w:p>
    <w:p w:rsidR="00002B2C" w:rsidRPr="00F518FB" w:rsidRDefault="00002B2C" w:rsidP="00002B2C">
      <w:pPr>
        <w:rPr>
          <w:b/>
        </w:rPr>
      </w:pPr>
      <w:r w:rsidRPr="00F518FB">
        <w:rPr>
          <w:b/>
        </w:rPr>
        <w:t>Recommendation</w:t>
      </w:r>
      <w:r>
        <w:rPr>
          <w:b/>
        </w:rPr>
        <w:t xml:space="preserve"> # 7</w:t>
      </w:r>
      <w:r w:rsidRPr="00F518FB">
        <w:rPr>
          <w:b/>
        </w:rPr>
        <w:t>: A</w:t>
      </w:r>
      <w:r>
        <w:rPr>
          <w:b/>
        </w:rPr>
        <w:t xml:space="preserve"> similar</w:t>
      </w:r>
      <w:r w:rsidRPr="00F518FB">
        <w:rPr>
          <w:b/>
        </w:rPr>
        <w:t xml:space="preserve"> Guidelin</w:t>
      </w:r>
      <w:r>
        <w:rPr>
          <w:b/>
        </w:rPr>
        <w:t>e is needed</w:t>
      </w:r>
      <w:r w:rsidRPr="00F518FB">
        <w:rPr>
          <w:b/>
        </w:rPr>
        <w:t xml:space="preserve"> to inform Municipal Adaptation Planning and s</w:t>
      </w:r>
      <w:r>
        <w:rPr>
          <w:b/>
        </w:rPr>
        <w:t>peak to opportunities for integrating</w:t>
      </w:r>
      <w:r w:rsidRPr="00F518FB">
        <w:rPr>
          <w:b/>
        </w:rPr>
        <w:t xml:space="preserve"> climate change mitigation and adaptation</w:t>
      </w:r>
      <w:r>
        <w:rPr>
          <w:b/>
        </w:rPr>
        <w:t xml:space="preserve"> planning</w:t>
      </w:r>
      <w:r w:rsidRPr="00F518FB">
        <w:rPr>
          <w:b/>
        </w:rPr>
        <w:t>.</w:t>
      </w:r>
    </w:p>
    <w:p w:rsidR="003D29D1" w:rsidRDefault="00002B2C">
      <w:r>
        <w:t>This Draft Guideline is extremely helpful in providing municipalities with a process for climate change mitigation planning and the flexibility to ensure that local needs and capacity are met. A similar guideline for climate change adaptation planning, and opportunities to address mitigation and adaptation simultaneously would be extremely helpful for Ontario municipalities.</w:t>
      </w:r>
    </w:p>
    <w:sectPr w:rsidR="003D29D1" w:rsidSect="00A325E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7" w:rsidRDefault="00950027" w:rsidP="00AA7DED">
      <w:pPr>
        <w:spacing w:after="0" w:line="240" w:lineRule="auto"/>
      </w:pPr>
      <w:r>
        <w:separator/>
      </w:r>
    </w:p>
  </w:endnote>
  <w:endnote w:type="continuationSeparator" w:id="0">
    <w:p w:rsidR="00950027" w:rsidRDefault="00950027" w:rsidP="00A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7" w:rsidRDefault="00950027" w:rsidP="00AA7DED">
      <w:pPr>
        <w:spacing w:after="0" w:line="240" w:lineRule="auto"/>
      </w:pPr>
      <w:r>
        <w:separator/>
      </w:r>
    </w:p>
  </w:footnote>
  <w:footnote w:type="continuationSeparator" w:id="0">
    <w:p w:rsidR="00950027" w:rsidRDefault="00950027" w:rsidP="00AA7DED">
      <w:pPr>
        <w:spacing w:after="0" w:line="240" w:lineRule="auto"/>
      </w:pPr>
      <w:r>
        <w:continuationSeparator/>
      </w:r>
    </w:p>
  </w:footnote>
  <w:footnote w:id="1">
    <w:p w:rsidR="002C70C9" w:rsidRPr="001822D8" w:rsidRDefault="002C70C9" w:rsidP="00AA7DED">
      <w:pPr>
        <w:pStyle w:val="EndnoteText"/>
        <w:rPr>
          <w:b/>
        </w:rPr>
      </w:pPr>
      <w:r w:rsidRPr="001822D8">
        <w:rPr>
          <w:rStyle w:val="FootnoteReference"/>
          <w:sz w:val="18"/>
          <w:szCs w:val="18"/>
        </w:rPr>
        <w:footnoteRef/>
      </w:r>
      <w:r w:rsidRPr="001822D8">
        <w:t xml:space="preserve"> CAC Municipal and Public Health Unit members include:</w:t>
      </w:r>
      <w:r w:rsidRPr="001822D8">
        <w:rPr>
          <w:b/>
        </w:rPr>
        <w:t xml:space="preserve"> </w:t>
      </w:r>
      <w:r w:rsidRPr="001822D8">
        <w:t xml:space="preserve">Ajax, Aurora, Brampton, Burlington, Caledon, Clarington, Durham Region, </w:t>
      </w:r>
      <w:r>
        <w:t xml:space="preserve">Guelph, </w:t>
      </w:r>
      <w:proofErr w:type="spellStart"/>
      <w:r w:rsidRPr="001822D8">
        <w:t>Halton</w:t>
      </w:r>
      <w:proofErr w:type="spellEnd"/>
      <w:r w:rsidRPr="001822D8">
        <w:t xml:space="preserve"> Region, </w:t>
      </w:r>
      <w:proofErr w:type="spellStart"/>
      <w:r w:rsidRPr="001822D8">
        <w:t>Halton</w:t>
      </w:r>
      <w:proofErr w:type="spellEnd"/>
      <w:r w:rsidRPr="001822D8">
        <w:t xml:space="preserve"> Hills, Hamilton, King, London, Markham, Mississauga, </w:t>
      </w:r>
      <w:proofErr w:type="spellStart"/>
      <w:r w:rsidRPr="001822D8">
        <w:t>Newmarket</w:t>
      </w:r>
      <w:proofErr w:type="spellEnd"/>
      <w:r w:rsidRPr="001822D8">
        <w:t>, Oa</w:t>
      </w:r>
      <w:r>
        <w:t>kville, Oshawa, Peel Region, Pickering</w:t>
      </w:r>
      <w:r w:rsidRPr="001822D8">
        <w:t xml:space="preserve">, </w:t>
      </w:r>
      <w:r>
        <w:t xml:space="preserve">Richmond Hill, </w:t>
      </w:r>
      <w:r w:rsidRPr="001822D8">
        <w:t>Simcoe-</w:t>
      </w:r>
      <w:proofErr w:type="spellStart"/>
      <w:r w:rsidRPr="001822D8">
        <w:t>Muskoka</w:t>
      </w:r>
      <w:proofErr w:type="spellEnd"/>
      <w:r w:rsidRPr="001822D8">
        <w:t xml:space="preserve"> District Health Unit, Toronto, Vaughan, </w:t>
      </w:r>
      <w:r>
        <w:t xml:space="preserve">Region of Waterloo, </w:t>
      </w:r>
      <w:proofErr w:type="spellStart"/>
      <w:r w:rsidRPr="001822D8">
        <w:t>Whitby</w:t>
      </w:r>
      <w:proofErr w:type="spellEnd"/>
      <w:r w:rsidRPr="001822D8">
        <w:t xml:space="preserve">, Windsor, York Region. </w:t>
      </w:r>
    </w:p>
    <w:p w:rsidR="002C70C9" w:rsidRPr="001822D8" w:rsidRDefault="002C70C9" w:rsidP="00AA7DED">
      <w:pPr>
        <w:pStyle w:val="FootnoteText"/>
        <w:rPr>
          <w:lang w:val="en-C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D"/>
    <w:rsid w:val="00002B2C"/>
    <w:rsid w:val="00037248"/>
    <w:rsid w:val="000401C0"/>
    <w:rsid w:val="00044C2D"/>
    <w:rsid w:val="000458BB"/>
    <w:rsid w:val="00051E57"/>
    <w:rsid w:val="00054AD3"/>
    <w:rsid w:val="000905B4"/>
    <w:rsid w:val="000D4C3A"/>
    <w:rsid w:val="000F25EF"/>
    <w:rsid w:val="00105FB4"/>
    <w:rsid w:val="001318EA"/>
    <w:rsid w:val="00133D91"/>
    <w:rsid w:val="001452D1"/>
    <w:rsid w:val="0015230A"/>
    <w:rsid w:val="00253F8A"/>
    <w:rsid w:val="002C70C9"/>
    <w:rsid w:val="0030287D"/>
    <w:rsid w:val="003346FB"/>
    <w:rsid w:val="003501BC"/>
    <w:rsid w:val="00365A94"/>
    <w:rsid w:val="003C3380"/>
    <w:rsid w:val="003D29D1"/>
    <w:rsid w:val="005C5C9A"/>
    <w:rsid w:val="005F4885"/>
    <w:rsid w:val="00624772"/>
    <w:rsid w:val="006A2E45"/>
    <w:rsid w:val="006D2515"/>
    <w:rsid w:val="00754B65"/>
    <w:rsid w:val="007B5DC8"/>
    <w:rsid w:val="00822D5F"/>
    <w:rsid w:val="00822ED4"/>
    <w:rsid w:val="008F51E5"/>
    <w:rsid w:val="00950027"/>
    <w:rsid w:val="0096763C"/>
    <w:rsid w:val="009C0568"/>
    <w:rsid w:val="009D6FF0"/>
    <w:rsid w:val="00A3020D"/>
    <w:rsid w:val="00A325EE"/>
    <w:rsid w:val="00A77889"/>
    <w:rsid w:val="00AA3299"/>
    <w:rsid w:val="00AA74ED"/>
    <w:rsid w:val="00AA7DED"/>
    <w:rsid w:val="00AB32D4"/>
    <w:rsid w:val="00AD0BDF"/>
    <w:rsid w:val="00B13A0B"/>
    <w:rsid w:val="00B17569"/>
    <w:rsid w:val="00B234DB"/>
    <w:rsid w:val="00B725E4"/>
    <w:rsid w:val="00C50C19"/>
    <w:rsid w:val="00C70FF7"/>
    <w:rsid w:val="00CB4D01"/>
    <w:rsid w:val="00CD2479"/>
    <w:rsid w:val="00D252AA"/>
    <w:rsid w:val="00D754E2"/>
    <w:rsid w:val="00DA6CBB"/>
    <w:rsid w:val="00DA7311"/>
    <w:rsid w:val="00E36F42"/>
    <w:rsid w:val="00E66F86"/>
    <w:rsid w:val="00E93B63"/>
    <w:rsid w:val="00EA149C"/>
    <w:rsid w:val="00F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F905"/>
  <w15:chartTrackingRefBased/>
  <w15:docId w15:val="{849670D4-AA91-47D3-804F-4AC9B06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DE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A7DE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7DED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A7DE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DE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D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5"/>
    <w:rPr>
      <w:rFonts w:ascii="Segoe UI" w:hAnsi="Segoe UI" w:cs="Segoe UI"/>
      <w:sz w:val="18"/>
      <w:szCs w:val="18"/>
    </w:rPr>
  </w:style>
  <w:style w:type="character" w:customStyle="1" w:styleId="notice-content-sub">
    <w:name w:val="notice-content-sub"/>
    <w:basedOn w:val="DefaultParagraphFont"/>
    <w:rsid w:val="00A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2.gov.bc.ca/gov/content/environment/climate-change/data/ce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Watt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61A-ED60-4792-92D7-18E2A5D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Kalapos</dc:creator>
  <cp:keywords/>
  <dc:description/>
  <cp:lastModifiedBy>Gaby Kalapos</cp:lastModifiedBy>
  <cp:revision>2</cp:revision>
  <cp:lastPrinted>2018-02-23T14:59:00Z</cp:lastPrinted>
  <dcterms:created xsi:type="dcterms:W3CDTF">2018-02-23T22:01:00Z</dcterms:created>
  <dcterms:modified xsi:type="dcterms:W3CDTF">2018-02-23T22:01:00Z</dcterms:modified>
</cp:coreProperties>
</file>